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drawing>
          <wp:inline distT="0" distB="0" distL="0" distR="0">
            <wp:extent cx="1304925"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304925" cy="542925"/>
                    </a:xfrm>
                    <a:prstGeom prst="rect">
                      <a:avLst/>
                    </a:prstGeom>
                  </pic:spPr>
                </pic:pic>
              </a:graphicData>
            </a:graphic>
          </wp:inline>
        </w:drawing>
      </w:r>
    </w:p>
    <w:p>
      <w:pPr>
        <w:spacing w:after="40"/>
      </w:pPr>
      <w:r>
        <w:rPr>
          <w:rFonts w:ascii="Georgia" w:cs="Georgia" w:eastAsia="Georgia" w:hAnsi="Georgia"/>
          <w:b/>
          <w:bCs/>
          <w:color w:val="189AD6"/>
          <w:sz w:val="33"/>
          <w:szCs w:val="33"/>
        </w:rPr>
        <w:t xml:space="preserve">Strata Cleaning — Scope of Works Template</w:t>
      </w:r>
    </w:p>
    <w:p>
      <w:pPr>
        <w:pBdr>
          <w:bottom w:val="single" w:color="FDD106" w:sz="12"/>
        </w:pBdr>
        <w:spacing w:after="200"/>
      </w:pPr>
      <w:r>
        <w:rPr>
          <w:rFonts w:ascii="Calibri" w:cs="Calibri" w:eastAsia="Calibri" w:hAnsi="Calibri"/>
          <w:i/>
          <w:iCs/>
          <w:color w:val="5A6570"/>
          <w:sz w:val="21"/>
          <w:szCs w:val="21"/>
        </w:rPr>
        <w:t xml:space="preserve">A working template your committee is welcome to adapt and attach to any cleaning contract — whoever you choose to work with. (v4)</w:t>
      </w:r>
    </w:p>
    <w:p>
      <w:pPr>
        <w:spacing w:after="140"/>
      </w:pPr>
      <w:r>
        <w:rPr>
          <w:rFonts w:ascii="Calibri" w:cs="Calibri" w:eastAsia="Calibri" w:hAnsi="Calibri"/>
          <w:b w:val="false"/>
          <w:bCs w:val="false"/>
          <w:i w:val="false"/>
          <w:iCs w:val="false"/>
          <w:color w:val="5A6570"/>
          <w:sz w:val="21"/>
          <w:szCs w:val="21"/>
        </w:rPr>
        <w:t xml:space="preserve">How to use this template: fill in the building details below, then work through each area table. Delete the rows that don't apply to your building, add any that are missing, and adjust the frequency column to suit — frequency is the column that sets the price, so it deserves the most attention. Anything in [square brackets] is for you to complete. If you'd like a hand, we're always happy to walk your building and draft it with you — call (02) 9518 8577 or email hello@trubrite.com.au.</w:t>
      </w:r>
    </w:p>
    <w:p>
      <w:pPr>
        <w:pStyle w:val="Heading1"/>
        <w:pBdr>
          <w:bottom w:val="single" w:color="FDD106" w:sz="16"/>
        </w:pBdr>
        <w:spacing w:after="160" w:before="360"/>
      </w:pPr>
      <w:r>
        <w:rPr>
          <w:rFonts w:ascii="Georgia" w:cs="Georgia" w:eastAsia="Georgia" w:hAnsi="Georgia"/>
          <w:b/>
          <w:bCs/>
          <w:color w:val="189AD6"/>
          <w:sz w:val="25"/>
          <w:szCs w:val="25"/>
        </w:rPr>
        <w:t xml:space="preserve">1. Building details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6838"/>
      </w:tblGrid>
      <w:tr>
        <w:tc>
          <w:tcPr>
            <w:tcW w:type="dxa" w:w="28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bCs/>
                <w:color w:val="189AD6"/>
                <w:sz w:val="19"/>
                <w:szCs w:val="19"/>
              </w:rPr>
              <w:t xml:space="preserve">Building name</w:t>
            </w:r>
          </w:p>
        </w:tc>
        <w:tc>
          <w:tcPr>
            <w:tcW w:type="dxa" w:w="68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[Building name]</w:t>
            </w:r>
          </w:p>
        </w:tc>
      </w:tr>
      <w:tr>
        <w:tc>
          <w:tcPr>
            <w:tcW w:type="dxa" w:w="28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bCs/>
                <w:color w:val="189AD6"/>
                <w:sz w:val="19"/>
                <w:szCs w:val="19"/>
              </w:rPr>
              <w:t xml:space="preserve">Address</w:t>
            </w:r>
          </w:p>
        </w:tc>
        <w:tc>
          <w:tcPr>
            <w:tcW w:type="dxa" w:w="68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[Street address, suburb, postcode]</w:t>
            </w:r>
          </w:p>
        </w:tc>
      </w:tr>
      <w:tr>
        <w:tc>
          <w:tcPr>
            <w:tcW w:type="dxa" w:w="28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bCs/>
                <w:color w:val="189AD6"/>
                <w:sz w:val="19"/>
                <w:szCs w:val="19"/>
              </w:rPr>
              <w:t xml:space="preserve">Owners corporation / plan no.</w:t>
            </w:r>
          </w:p>
        </w:tc>
        <w:tc>
          <w:tcPr>
            <w:tcW w:type="dxa" w:w="68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[SP number]</w:t>
            </w:r>
          </w:p>
        </w:tc>
      </w:tr>
      <w:tr>
        <w:tc>
          <w:tcPr>
            <w:tcW w:type="dxa" w:w="28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bCs/>
                <w:color w:val="189AD6"/>
                <w:sz w:val="19"/>
                <w:szCs w:val="19"/>
              </w:rPr>
              <w:t xml:space="preserve">Building profile</w:t>
            </w:r>
          </w:p>
        </w:tc>
        <w:tc>
          <w:tcPr>
            <w:tcW w:type="dxa" w:w="68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[e.g. 120 residential lots, 14 levels, 2 lifts, 2 basement levels, pool and gym]</w:t>
            </w:r>
          </w:p>
        </w:tc>
      </w:tr>
      <w:tr>
        <w:tc>
          <w:tcPr>
            <w:tcW w:type="dxa" w:w="28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bCs/>
                <w:color w:val="189AD6"/>
                <w:sz w:val="19"/>
                <w:szCs w:val="19"/>
              </w:rPr>
              <w:t xml:space="preserve">Contract period</w:t>
            </w:r>
          </w:p>
        </w:tc>
        <w:tc>
          <w:tcPr>
            <w:tcW w:type="dxa" w:w="68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[Start date] to [end date], with [notice period] termination notice</w:t>
            </w:r>
          </w:p>
        </w:tc>
      </w:tr>
      <w:tr>
        <w:tc>
          <w:tcPr>
            <w:tcW w:type="dxa" w:w="28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bCs/>
                <w:color w:val="189AD6"/>
                <w:sz w:val="19"/>
                <w:szCs w:val="19"/>
              </w:rPr>
              <w:t xml:space="preserve">Contractor</w:t>
            </w:r>
          </w:p>
        </w:tc>
        <w:tc>
          <w:tcPr>
            <w:tcW w:type="dxa" w:w="68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[Cleaning company name and ABN]</w:t>
            </w:r>
          </w:p>
        </w:tc>
      </w:tr>
      <w:tr>
        <w:tc>
          <w:tcPr>
            <w:tcW w:type="dxa" w:w="28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bCs/>
                <w:color w:val="189AD6"/>
                <w:sz w:val="19"/>
                <w:szCs w:val="19"/>
              </w:rPr>
              <w:t xml:space="preserve">Day-to-day contact</w:t>
            </w:r>
          </w:p>
        </w:tc>
        <w:tc>
          <w:tcPr>
            <w:tcW w:type="dxa" w:w="68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[Building manager / committee contact, phone, email]</w:t>
            </w:r>
          </w:p>
        </w:tc>
      </w:tr>
      <w:tr>
        <w:tc>
          <w:tcPr>
            <w:tcW w:type="dxa" w:w="28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bCs/>
                <w:color w:val="189AD6"/>
                <w:sz w:val="19"/>
                <w:szCs w:val="19"/>
              </w:rPr>
              <w:t xml:space="preserve">Scope prepared by / date</w:t>
            </w:r>
          </w:p>
        </w:tc>
        <w:tc>
          <w:tcPr>
            <w:tcW w:type="dxa" w:w="68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[Name and date]</w:t>
            </w:r>
          </w:p>
        </w:tc>
      </w:tr>
    </w:tbl>
    <w:p>
      <w:pPr>
        <w:pStyle w:val="Heading1"/>
        <w:pBdr>
          <w:bottom w:val="single" w:color="FDD106" w:sz="16"/>
        </w:pBdr>
        <w:spacing w:after="160" w:before="360"/>
      </w:pPr>
      <w:r>
        <w:rPr>
          <w:rFonts w:ascii="Georgia" w:cs="Georgia" w:eastAsia="Georgia" w:hAnsi="Georgia"/>
          <w:b/>
          <w:bCs/>
          <w:color w:val="189AD6"/>
          <w:sz w:val="25"/>
          <w:szCs w:val="25"/>
        </w:rPr>
        <w:t xml:space="preserve">2. Routine cleaning — area by area</w:t>
      </w:r>
    </w:p>
    <w:p>
      <w:pPr>
        <w:spacing w:after="140"/>
      </w:pPr>
      <w:r>
        <w:rPr>
          <w:rFonts w:ascii="Calibri" w:cs="Calibri" w:eastAsia="Calibri" w:hAnsi="Calibri"/>
          <w:b w:val="false"/>
          <w:bCs w:val="false"/>
          <w:i w:val="false"/>
          <w:iCs w:val="false"/>
          <w:color w:val="1E1E1E"/>
          <w:sz w:val="21"/>
          <w:szCs w:val="21"/>
        </w:rPr>
        <w:t xml:space="preserve">Every common area is listed by name — if it isn't listed here, it isn't in scope. The frequencies below are sensible defaults for a mid-size residential building; please adjust them to your building's traffic and facilities.</w:t>
      </w:r>
    </w:p>
    <w:p>
      <w:pPr>
        <w:pBdr>
          <w:left w:val="single" w:color="FDD106" w:sz="20"/>
        </w:pBdr>
        <w:spacing w:after="40" w:before="260"/>
        <w:ind w:left="140"/>
      </w:pPr>
      <w:r>
        <w:rPr>
          <w:rFonts w:ascii="Georgia" w:cs="Georgia" w:eastAsia="Georgia" w:hAnsi="Georgia"/>
          <w:b/>
          <w:bCs/>
          <w:color w:val="189AD6"/>
          <w:sz w:val="21"/>
          <w:szCs w:val="21"/>
        </w:rPr>
        <w:t xml:space="preserve">2.1 Entry, foyer and lobby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1500"/>
        <w:gridCol w:w="3238"/>
        <w:gridCol w:w="1600"/>
      </w:tblGrid>
      <w:tr>
        <w:trPr>
          <w:tblHeader/>
        </w:trPr>
        <w:tc>
          <w:tcPr>
            <w:tcW w:type="dxa" w:w="3300"/>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Task</w:t>
            </w:r>
          </w:p>
        </w:tc>
        <w:tc>
          <w:tcPr>
            <w:tcW w:type="dxa" w:w="1500"/>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Frequency</w:t>
            </w:r>
          </w:p>
        </w:tc>
        <w:tc>
          <w:tcPr>
            <w:tcW w:type="dxa" w:w="3238"/>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Standard expected</w:t>
            </w:r>
          </w:p>
        </w:tc>
        <w:tc>
          <w:tcPr>
            <w:tcW w:type="dxa" w:w="1600"/>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Evidence</w:t>
            </w:r>
          </w:p>
        </w:tc>
      </w:tr>
      <w:tr>
        <w:tc>
          <w:tcPr>
            <w:tcW w:type="dxa" w:w="33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Sweep and mop hard floors; vacuum entry mats and carpeted areas</w:t>
            </w:r>
          </w:p>
        </w:tc>
        <w:tc>
          <w:tcPr>
            <w:tcW w:type="dxa" w:w="15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Daily</w:t>
            </w:r>
          </w:p>
        </w:tc>
        <w:tc>
          <w:tcPr>
            <w:tcW w:type="dxa" w:w="32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Free of litter, marks and streaks; mats flat and clean</w:t>
            </w:r>
          </w:p>
        </w:tc>
        <w:tc>
          <w:tcPr>
            <w:tcW w:type="dxa" w:w="16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r>
        <w:tc>
          <w:tcPr>
            <w:tcW w:type="dxa" w:w="33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Clean entry glass, doors and door furniture (both sides)</w:t>
            </w:r>
          </w:p>
        </w:tc>
        <w:tc>
          <w:tcPr>
            <w:tcW w:type="dxa" w:w="15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Daily</w:t>
            </w:r>
          </w:p>
        </w:tc>
        <w:tc>
          <w:tcPr>
            <w:tcW w:type="dxa" w:w="3238"/>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Glass smear-free; fingerprints removed</w:t>
            </w:r>
          </w:p>
        </w:tc>
        <w:tc>
          <w:tcPr>
            <w:tcW w:type="dxa" w:w="16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r>
        <w:tc>
          <w:tcPr>
            <w:tcW w:type="dxa" w:w="33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Dust and wipe furniture, sills, skirtings and ledges</w:t>
            </w:r>
          </w:p>
        </w:tc>
        <w:tc>
          <w:tcPr>
            <w:tcW w:type="dxa" w:w="15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Weekly</w:t>
            </w:r>
          </w:p>
        </w:tc>
        <w:tc>
          <w:tcPr>
            <w:tcW w:type="dxa" w:w="32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Dust-free to touch</w:t>
            </w:r>
          </w:p>
        </w:tc>
        <w:tc>
          <w:tcPr>
            <w:tcW w:type="dxa" w:w="16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r>
        <w:tc>
          <w:tcPr>
            <w:tcW w:type="dxa" w:w="33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Clean mailboxes, intercom and directory panels</w:t>
            </w:r>
          </w:p>
        </w:tc>
        <w:tc>
          <w:tcPr>
            <w:tcW w:type="dxa" w:w="15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Weekly</w:t>
            </w:r>
          </w:p>
        </w:tc>
        <w:tc>
          <w:tcPr>
            <w:tcW w:type="dxa" w:w="3238"/>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Fingerprints and marks removed</w:t>
            </w:r>
          </w:p>
        </w:tc>
        <w:tc>
          <w:tcPr>
            <w:tcW w:type="dxa" w:w="16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r>
        <w:tc>
          <w:tcPr>
            <w:tcW w:type="dxa" w:w="33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Spot-clean walls and switch plates</w:t>
            </w:r>
          </w:p>
        </w:tc>
        <w:tc>
          <w:tcPr>
            <w:tcW w:type="dxa" w:w="15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Weekly</w:t>
            </w:r>
          </w:p>
        </w:tc>
        <w:tc>
          <w:tcPr>
            <w:tcW w:type="dxa" w:w="32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No visible marks at eye level</w:t>
            </w:r>
          </w:p>
        </w:tc>
        <w:tc>
          <w:tcPr>
            <w:tcW w:type="dxa" w:w="16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bl>
    <w:p>
      <w:pPr>
        <w:pBdr>
          <w:left w:val="single" w:color="FDD106" w:sz="20"/>
        </w:pBdr>
        <w:spacing w:after="40" w:before="260"/>
        <w:ind w:left="140"/>
      </w:pPr>
      <w:r>
        <w:rPr>
          <w:rFonts w:ascii="Georgia" w:cs="Georgia" w:eastAsia="Georgia" w:hAnsi="Georgia"/>
          <w:b/>
          <w:bCs/>
          <w:color w:val="189AD6"/>
          <w:sz w:val="21"/>
          <w:szCs w:val="21"/>
        </w:rPr>
        <w:t xml:space="preserve">2.2 Lifts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1500"/>
        <w:gridCol w:w="3238"/>
        <w:gridCol w:w="1600"/>
      </w:tblGrid>
      <w:tr>
        <w:trPr>
          <w:tblHeader/>
        </w:trPr>
        <w:tc>
          <w:tcPr>
            <w:tcW w:type="dxa" w:w="3300"/>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Task</w:t>
            </w:r>
          </w:p>
        </w:tc>
        <w:tc>
          <w:tcPr>
            <w:tcW w:type="dxa" w:w="1500"/>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Frequency</w:t>
            </w:r>
          </w:p>
        </w:tc>
        <w:tc>
          <w:tcPr>
            <w:tcW w:type="dxa" w:w="3238"/>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Standard expected</w:t>
            </w:r>
          </w:p>
        </w:tc>
        <w:tc>
          <w:tcPr>
            <w:tcW w:type="dxa" w:w="1600"/>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Evidence</w:t>
            </w:r>
          </w:p>
        </w:tc>
      </w:tr>
      <w:tr>
        <w:tc>
          <w:tcPr>
            <w:tcW w:type="dxa" w:w="33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Clean lift car floors, walls, mirrors and control panels</w:t>
            </w:r>
          </w:p>
        </w:tc>
        <w:tc>
          <w:tcPr>
            <w:tcW w:type="dxa" w:w="15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Daily</w:t>
            </w:r>
          </w:p>
        </w:tc>
        <w:tc>
          <w:tcPr>
            <w:tcW w:type="dxa" w:w="32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Smear-free; touchpoints sanitised</w:t>
            </w:r>
          </w:p>
        </w:tc>
        <w:tc>
          <w:tcPr>
            <w:tcW w:type="dxa" w:w="16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r>
        <w:tc>
          <w:tcPr>
            <w:tcW w:type="dxa" w:w="33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Vacuum and clean lift door tracks</w:t>
            </w:r>
          </w:p>
        </w:tc>
        <w:tc>
          <w:tcPr>
            <w:tcW w:type="dxa" w:w="15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Weekly</w:t>
            </w:r>
          </w:p>
        </w:tc>
        <w:tc>
          <w:tcPr>
            <w:tcW w:type="dxa" w:w="3238"/>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Tracks free of grit and debris</w:t>
            </w:r>
          </w:p>
        </w:tc>
        <w:tc>
          <w:tcPr>
            <w:tcW w:type="dxa" w:w="16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r>
        <w:tc>
          <w:tcPr>
            <w:tcW w:type="dxa" w:w="33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Polish lift doors and frames (each level)</w:t>
            </w:r>
          </w:p>
        </w:tc>
        <w:tc>
          <w:tcPr>
            <w:tcW w:type="dxa" w:w="15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Weekly</w:t>
            </w:r>
          </w:p>
        </w:tc>
        <w:tc>
          <w:tcPr>
            <w:tcW w:type="dxa" w:w="32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Fingerprints removed, even finish</w:t>
            </w:r>
          </w:p>
        </w:tc>
        <w:tc>
          <w:tcPr>
            <w:tcW w:type="dxa" w:w="16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bl>
    <w:p>
      <w:pPr>
        <w:pBdr>
          <w:left w:val="single" w:color="FDD106" w:sz="20"/>
        </w:pBdr>
        <w:spacing w:after="40" w:before="260"/>
        <w:ind w:left="140"/>
      </w:pPr>
      <w:r>
        <w:rPr>
          <w:rFonts w:ascii="Georgia" w:cs="Georgia" w:eastAsia="Georgia" w:hAnsi="Georgia"/>
          <w:b/>
          <w:bCs/>
          <w:color w:val="189AD6"/>
          <w:sz w:val="21"/>
          <w:szCs w:val="21"/>
        </w:rPr>
        <w:t xml:space="preserve">2.3 Corridors and common hallways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1500"/>
        <w:gridCol w:w="3238"/>
        <w:gridCol w:w="1600"/>
      </w:tblGrid>
      <w:tr>
        <w:trPr>
          <w:tblHeader/>
        </w:trPr>
        <w:tc>
          <w:tcPr>
            <w:tcW w:type="dxa" w:w="3300"/>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Task</w:t>
            </w:r>
          </w:p>
        </w:tc>
        <w:tc>
          <w:tcPr>
            <w:tcW w:type="dxa" w:w="1500"/>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Frequency</w:t>
            </w:r>
          </w:p>
        </w:tc>
        <w:tc>
          <w:tcPr>
            <w:tcW w:type="dxa" w:w="3238"/>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Standard expected</w:t>
            </w:r>
          </w:p>
        </w:tc>
        <w:tc>
          <w:tcPr>
            <w:tcW w:type="dxa" w:w="1600"/>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Evidence</w:t>
            </w:r>
          </w:p>
        </w:tc>
      </w:tr>
      <w:tr>
        <w:tc>
          <w:tcPr>
            <w:tcW w:type="dxa" w:w="33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Vacuum carpeted corridors (all levels)</w:t>
            </w:r>
          </w:p>
        </w:tc>
        <w:tc>
          <w:tcPr>
            <w:tcW w:type="dxa" w:w="15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2 × week</w:t>
            </w:r>
          </w:p>
        </w:tc>
        <w:tc>
          <w:tcPr>
            <w:tcW w:type="dxa" w:w="32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Free of litter and visible soil</w:t>
            </w:r>
          </w:p>
        </w:tc>
        <w:tc>
          <w:tcPr>
            <w:tcW w:type="dxa" w:w="16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r>
        <w:tc>
          <w:tcPr>
            <w:tcW w:type="dxa" w:w="33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Mop hard-floor corridors</w:t>
            </w:r>
          </w:p>
        </w:tc>
        <w:tc>
          <w:tcPr>
            <w:tcW w:type="dxa" w:w="15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Weekly</w:t>
            </w:r>
          </w:p>
        </w:tc>
        <w:tc>
          <w:tcPr>
            <w:tcW w:type="dxa" w:w="3238"/>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Free of marks and streaks</w:t>
            </w:r>
          </w:p>
        </w:tc>
        <w:tc>
          <w:tcPr>
            <w:tcW w:type="dxa" w:w="16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r>
        <w:tc>
          <w:tcPr>
            <w:tcW w:type="dxa" w:w="33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Spot-clean walls, doors and light switches</w:t>
            </w:r>
          </w:p>
        </w:tc>
        <w:tc>
          <w:tcPr>
            <w:tcW w:type="dxa" w:w="15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Weekly</w:t>
            </w:r>
          </w:p>
        </w:tc>
        <w:tc>
          <w:tcPr>
            <w:tcW w:type="dxa" w:w="32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No visible marks at eye level</w:t>
            </w:r>
          </w:p>
        </w:tc>
        <w:tc>
          <w:tcPr>
            <w:tcW w:type="dxa" w:w="16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r>
        <w:tc>
          <w:tcPr>
            <w:tcW w:type="dxa" w:w="33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Dust fire-hose reels, hydrants and signage</w:t>
            </w:r>
          </w:p>
        </w:tc>
        <w:tc>
          <w:tcPr>
            <w:tcW w:type="dxa" w:w="15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w:t>
            </w:r>
          </w:p>
        </w:tc>
        <w:tc>
          <w:tcPr>
            <w:tcW w:type="dxa" w:w="3238"/>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Dust-free; signage legible</w:t>
            </w:r>
          </w:p>
        </w:tc>
        <w:tc>
          <w:tcPr>
            <w:tcW w:type="dxa" w:w="16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r>
        <w:tc>
          <w:tcPr>
            <w:tcW w:type="dxa" w:w="33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Remove cobwebs (ceilings, corners, fittings)</w:t>
            </w:r>
          </w:p>
        </w:tc>
        <w:tc>
          <w:tcPr>
            <w:tcW w:type="dxa" w:w="15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w:t>
            </w:r>
          </w:p>
        </w:tc>
        <w:tc>
          <w:tcPr>
            <w:tcW w:type="dxa" w:w="32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None visible</w:t>
            </w:r>
          </w:p>
        </w:tc>
        <w:tc>
          <w:tcPr>
            <w:tcW w:type="dxa" w:w="16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bl>
    <w:p>
      <w:pPr>
        <w:pBdr>
          <w:left w:val="single" w:color="FDD106" w:sz="20"/>
        </w:pBdr>
        <w:spacing w:after="40" w:before="260"/>
        <w:ind w:left="140"/>
      </w:pPr>
      <w:r>
        <w:rPr>
          <w:rFonts w:ascii="Georgia" w:cs="Georgia" w:eastAsia="Georgia" w:hAnsi="Georgia"/>
          <w:b/>
          <w:bCs/>
          <w:color w:val="189AD6"/>
          <w:sz w:val="21"/>
          <w:szCs w:val="21"/>
        </w:rPr>
        <w:t xml:space="preserve">2.4 Fire stairs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1500"/>
        <w:gridCol w:w="3238"/>
        <w:gridCol w:w="1600"/>
      </w:tblGrid>
      <w:tr>
        <w:trPr>
          <w:tblHeader/>
        </w:trPr>
        <w:tc>
          <w:tcPr>
            <w:tcW w:type="dxa" w:w="3300"/>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Task</w:t>
            </w:r>
          </w:p>
        </w:tc>
        <w:tc>
          <w:tcPr>
            <w:tcW w:type="dxa" w:w="1500"/>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Frequency</w:t>
            </w:r>
          </w:p>
        </w:tc>
        <w:tc>
          <w:tcPr>
            <w:tcW w:type="dxa" w:w="3238"/>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Standard expected</w:t>
            </w:r>
          </w:p>
        </w:tc>
        <w:tc>
          <w:tcPr>
            <w:tcW w:type="dxa" w:w="1600"/>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Evidence</w:t>
            </w:r>
          </w:p>
        </w:tc>
      </w:tr>
      <w:tr>
        <w:tc>
          <w:tcPr>
            <w:tcW w:type="dxa" w:w="33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Sweep all fire stairs, landings and handrails</w:t>
            </w:r>
          </w:p>
        </w:tc>
        <w:tc>
          <w:tcPr>
            <w:tcW w:type="dxa" w:w="15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Weekly</w:t>
            </w:r>
          </w:p>
        </w:tc>
        <w:tc>
          <w:tcPr>
            <w:tcW w:type="dxa" w:w="32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Free of litter and dust; rails clean to touch</w:t>
            </w:r>
          </w:p>
        </w:tc>
        <w:tc>
          <w:tcPr>
            <w:tcW w:type="dxa" w:w="16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r>
        <w:tc>
          <w:tcPr>
            <w:tcW w:type="dxa" w:w="33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Mop landings and treads</w:t>
            </w:r>
          </w:p>
        </w:tc>
        <w:tc>
          <w:tcPr>
            <w:tcW w:type="dxa" w:w="15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w:t>
            </w:r>
          </w:p>
        </w:tc>
        <w:tc>
          <w:tcPr>
            <w:tcW w:type="dxa" w:w="3238"/>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Free of marks; slip-safe when dry</w:t>
            </w:r>
          </w:p>
        </w:tc>
        <w:tc>
          <w:tcPr>
            <w:tcW w:type="dxa" w:w="16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r>
        <w:tc>
          <w:tcPr>
            <w:tcW w:type="dxa" w:w="33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Report any stored goods or obstructions</w:t>
            </w:r>
          </w:p>
        </w:tc>
        <w:tc>
          <w:tcPr>
            <w:tcW w:type="dxa" w:w="15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Every visit</w:t>
            </w:r>
          </w:p>
        </w:tc>
        <w:tc>
          <w:tcPr>
            <w:tcW w:type="dxa" w:w="32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Escalated to building manager same day</w:t>
            </w:r>
          </w:p>
        </w:tc>
        <w:tc>
          <w:tcPr>
            <w:tcW w:type="dxa" w:w="16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Site attendance log</w:t>
            </w:r>
          </w:p>
        </w:tc>
      </w:tr>
    </w:tbl>
    <w:p>
      <w:pPr>
        <w:pBdr>
          <w:left w:val="single" w:color="FDD106" w:sz="20"/>
        </w:pBdr>
        <w:spacing w:after="40" w:before="260"/>
        <w:ind w:left="140"/>
      </w:pPr>
      <w:r>
        <w:rPr>
          <w:rFonts w:ascii="Georgia" w:cs="Georgia" w:eastAsia="Georgia" w:hAnsi="Georgia"/>
          <w:b/>
          <w:bCs/>
          <w:color w:val="189AD6"/>
          <w:sz w:val="21"/>
          <w:szCs w:val="21"/>
        </w:rPr>
        <w:t xml:space="preserve">2.5 Car park and driveways</w:t>
      </w:r>
    </w:p>
    <w:p>
      <w:pPr>
        <w:spacing w:after="80"/>
      </w:pPr>
      <w:r>
        <w:rPr>
          <w:rFonts w:ascii="Calibri" w:cs="Calibri" w:eastAsia="Calibri" w:hAnsi="Calibri"/>
          <w:b w:val="false"/>
          <w:bCs w:val="false"/>
          <w:i/>
          <w:iCs/>
          <w:color w:val="5A6570"/>
          <w:sz w:val="19"/>
          <w:szCs w:val="19"/>
        </w:rPr>
        <w:t xml:space="preserve">Machine sweeping and scrubbing may be delivered as a periodic service — see section 3.</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1500"/>
        <w:gridCol w:w="3238"/>
        <w:gridCol w:w="1600"/>
      </w:tblGrid>
      <w:tr>
        <w:trPr>
          <w:tblHeader/>
        </w:trPr>
        <w:tc>
          <w:tcPr>
            <w:tcW w:type="dxa" w:w="3300"/>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Task</w:t>
            </w:r>
          </w:p>
        </w:tc>
        <w:tc>
          <w:tcPr>
            <w:tcW w:type="dxa" w:w="1500"/>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Frequency</w:t>
            </w:r>
          </w:p>
        </w:tc>
        <w:tc>
          <w:tcPr>
            <w:tcW w:type="dxa" w:w="3238"/>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Standard expected</w:t>
            </w:r>
          </w:p>
        </w:tc>
        <w:tc>
          <w:tcPr>
            <w:tcW w:type="dxa" w:w="1600"/>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Evidence</w:t>
            </w:r>
          </w:p>
        </w:tc>
      </w:tr>
      <w:tr>
        <w:tc>
          <w:tcPr>
            <w:tcW w:type="dxa" w:w="33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Litter pick throughout car park and ramps</w:t>
            </w:r>
          </w:p>
        </w:tc>
        <w:tc>
          <w:tcPr>
            <w:tcW w:type="dxa" w:w="15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Weekly</w:t>
            </w:r>
          </w:p>
        </w:tc>
        <w:tc>
          <w:tcPr>
            <w:tcW w:type="dxa" w:w="32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Free of litter and debris</w:t>
            </w:r>
          </w:p>
        </w:tc>
        <w:tc>
          <w:tcPr>
            <w:tcW w:type="dxa" w:w="16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r>
        <w:tc>
          <w:tcPr>
            <w:tcW w:type="dxa" w:w="33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Sweep pedestrian paths, lobbies and lift entries within car park</w:t>
            </w:r>
          </w:p>
        </w:tc>
        <w:tc>
          <w:tcPr>
            <w:tcW w:type="dxa" w:w="15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Weekly</w:t>
            </w:r>
          </w:p>
        </w:tc>
        <w:tc>
          <w:tcPr>
            <w:tcW w:type="dxa" w:w="3238"/>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Free of grit and dust</w:t>
            </w:r>
          </w:p>
        </w:tc>
        <w:tc>
          <w:tcPr>
            <w:tcW w:type="dxa" w:w="16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r>
        <w:tc>
          <w:tcPr>
            <w:tcW w:type="dxa" w:w="33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Spot-mop spills and remove hazards (report oil stains)</w:t>
            </w:r>
          </w:p>
        </w:tc>
        <w:tc>
          <w:tcPr>
            <w:tcW w:type="dxa" w:w="15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Every visit</w:t>
            </w:r>
          </w:p>
        </w:tc>
        <w:tc>
          <w:tcPr>
            <w:tcW w:type="dxa" w:w="32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Hazards actioned or reported same day</w:t>
            </w:r>
          </w:p>
        </w:tc>
        <w:tc>
          <w:tcPr>
            <w:tcW w:type="dxa" w:w="16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Site attendance log</w:t>
            </w:r>
          </w:p>
        </w:tc>
      </w:tr>
      <w:tr>
        <w:tc>
          <w:tcPr>
            <w:tcW w:type="dxa" w:w="33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Dust light fittings, pipes and drain grates within reach</w:t>
            </w:r>
          </w:p>
        </w:tc>
        <w:tc>
          <w:tcPr>
            <w:tcW w:type="dxa" w:w="15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Quarterly</w:t>
            </w:r>
          </w:p>
        </w:tc>
        <w:tc>
          <w:tcPr>
            <w:tcW w:type="dxa" w:w="3238"/>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Visible dust removed</w:t>
            </w:r>
          </w:p>
        </w:tc>
        <w:tc>
          <w:tcPr>
            <w:tcW w:type="dxa" w:w="16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bl>
    <w:p>
      <w:pPr>
        <w:pBdr>
          <w:left w:val="single" w:color="FDD106" w:sz="20"/>
        </w:pBdr>
        <w:spacing w:after="40" w:before="260"/>
        <w:ind w:left="140"/>
      </w:pPr>
      <w:r>
        <w:rPr>
          <w:rFonts w:ascii="Georgia" w:cs="Georgia" w:eastAsia="Georgia" w:hAnsi="Georgia"/>
          <w:b/>
          <w:bCs/>
          <w:color w:val="189AD6"/>
          <w:sz w:val="21"/>
          <w:szCs w:val="21"/>
        </w:rPr>
        <w:t xml:space="preserve">2.6 Bin and compactor rooms</w:t>
      </w:r>
    </w:p>
    <w:p>
      <w:pPr>
        <w:spacing w:after="80"/>
      </w:pPr>
      <w:r>
        <w:rPr>
          <w:rFonts w:ascii="Calibri" w:cs="Calibri" w:eastAsia="Calibri" w:hAnsi="Calibri"/>
          <w:b w:val="false"/>
          <w:bCs w:val="false"/>
          <w:i/>
          <w:iCs/>
          <w:color w:val="5A6570"/>
          <w:sz w:val="19"/>
          <w:szCs w:val="19"/>
        </w:rPr>
        <w:t xml:space="preserve">The bin collection days that coincide with public holidays or weekend duties incur additional fees.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1500"/>
        <w:gridCol w:w="3238"/>
        <w:gridCol w:w="1600"/>
      </w:tblGrid>
      <w:tr>
        <w:trPr>
          <w:tblHeader/>
        </w:trPr>
        <w:tc>
          <w:tcPr>
            <w:tcW w:type="dxa" w:w="3300"/>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Task</w:t>
            </w:r>
          </w:p>
        </w:tc>
        <w:tc>
          <w:tcPr>
            <w:tcW w:type="dxa" w:w="1500"/>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Frequency</w:t>
            </w:r>
          </w:p>
        </w:tc>
        <w:tc>
          <w:tcPr>
            <w:tcW w:type="dxa" w:w="3238"/>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Standard expected</w:t>
            </w:r>
          </w:p>
        </w:tc>
        <w:tc>
          <w:tcPr>
            <w:tcW w:type="dxa" w:w="1600"/>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Evidence</w:t>
            </w:r>
          </w:p>
        </w:tc>
      </w:tr>
      <w:tr>
        <w:tc>
          <w:tcPr>
            <w:tcW w:type="dxa" w:w="33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Sweep and mop bin room floors</w:t>
            </w:r>
          </w:p>
        </w:tc>
        <w:tc>
          <w:tcPr>
            <w:tcW w:type="dxa" w:w="15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2 × week</w:t>
            </w:r>
          </w:p>
        </w:tc>
        <w:tc>
          <w:tcPr>
            <w:tcW w:type="dxa" w:w="32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Free of spills and odour at the door</w:t>
            </w:r>
          </w:p>
        </w:tc>
        <w:tc>
          <w:tcPr>
            <w:tcW w:type="dxa" w:w="16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r>
        <w:tc>
          <w:tcPr>
            <w:tcW w:type="dxa" w:w="33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Wash bin lids and surrounds; deodorise</w:t>
            </w:r>
          </w:p>
        </w:tc>
        <w:tc>
          <w:tcPr>
            <w:tcW w:type="dxa" w:w="15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Weekly</w:t>
            </w:r>
          </w:p>
        </w:tc>
        <w:tc>
          <w:tcPr>
            <w:tcW w:type="dxa" w:w="3238"/>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No residue or odour</w:t>
            </w:r>
          </w:p>
        </w:tc>
        <w:tc>
          <w:tcPr>
            <w:tcW w:type="dxa" w:w="16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r>
        <w:tc>
          <w:tcPr>
            <w:tcW w:type="dxa" w:w="33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Present bins for collection and return (if in scope)</w:t>
            </w:r>
          </w:p>
        </w:tc>
        <w:tc>
          <w:tcPr>
            <w:tcW w:type="dxa" w:w="15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[Collection days]</w:t>
            </w:r>
          </w:p>
        </w:tc>
        <w:tc>
          <w:tcPr>
            <w:tcW w:type="dxa" w:w="32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Bins out by [time], returned same day</w:t>
            </w:r>
          </w:p>
        </w:tc>
        <w:tc>
          <w:tcPr>
            <w:tcW w:type="dxa" w:w="16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Site attendance log</w:t>
            </w:r>
          </w:p>
        </w:tc>
      </w:tr>
      <w:tr>
        <w:tc>
          <w:tcPr>
            <w:tcW w:type="dxa" w:w="33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Full wash-down and disinfection of bin room and compactor surrounds</w:t>
            </w:r>
          </w:p>
        </w:tc>
        <w:tc>
          <w:tcPr>
            <w:tcW w:type="dxa" w:w="15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w:t>
            </w:r>
          </w:p>
        </w:tc>
        <w:tc>
          <w:tcPr>
            <w:tcW w:type="dxa" w:w="3238"/>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Surfaces disinfected; drains clear of debris</w:t>
            </w:r>
          </w:p>
        </w:tc>
        <w:tc>
          <w:tcPr>
            <w:tcW w:type="dxa" w:w="16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Dated photos on completion</w:t>
            </w:r>
          </w:p>
        </w:tc>
      </w:tr>
    </w:tbl>
    <w:p>
      <w:pPr>
        <w:pBdr>
          <w:left w:val="single" w:color="FDD106" w:sz="20"/>
        </w:pBdr>
        <w:spacing w:after="40" w:before="260"/>
        <w:ind w:left="140"/>
      </w:pPr>
      <w:r>
        <w:rPr>
          <w:rFonts w:ascii="Georgia" w:cs="Georgia" w:eastAsia="Georgia" w:hAnsi="Georgia"/>
          <w:b/>
          <w:bCs/>
          <w:color w:val="189AD6"/>
          <w:sz w:val="21"/>
          <w:szCs w:val="21"/>
        </w:rPr>
        <w:t xml:space="preserve">2.7 Amenities (pool surrounds, gym, common rooms, BBQ areas)</w:t>
      </w:r>
    </w:p>
    <w:p>
      <w:pPr>
        <w:spacing w:after="80"/>
      </w:pPr>
      <w:r>
        <w:rPr>
          <w:rFonts w:ascii="Calibri" w:cs="Calibri" w:eastAsia="Calibri" w:hAnsi="Calibri"/>
          <w:b w:val="false"/>
          <w:bCs w:val="false"/>
          <w:i/>
          <w:iCs/>
          <w:color w:val="5A6570"/>
          <w:sz w:val="19"/>
          <w:szCs w:val="19"/>
        </w:rPr>
        <w:t xml:space="preserve">List each amenity your building actually has; delete the rest.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1500"/>
        <w:gridCol w:w="3238"/>
        <w:gridCol w:w="1600"/>
      </w:tblGrid>
      <w:tr>
        <w:trPr>
          <w:tblHeader/>
        </w:trPr>
        <w:tc>
          <w:tcPr>
            <w:tcW w:type="dxa" w:w="3300"/>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Task</w:t>
            </w:r>
          </w:p>
        </w:tc>
        <w:tc>
          <w:tcPr>
            <w:tcW w:type="dxa" w:w="1500"/>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Frequency</w:t>
            </w:r>
          </w:p>
        </w:tc>
        <w:tc>
          <w:tcPr>
            <w:tcW w:type="dxa" w:w="3238"/>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Standard expected</w:t>
            </w:r>
          </w:p>
        </w:tc>
        <w:tc>
          <w:tcPr>
            <w:tcW w:type="dxa" w:w="1600"/>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Evidence</w:t>
            </w:r>
          </w:p>
        </w:tc>
      </w:tr>
      <w:tr>
        <w:tc>
          <w:tcPr>
            <w:tcW w:type="dxa" w:w="33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Clean gym floors, mirrors and wipe equipment touchpoints</w:t>
            </w:r>
          </w:p>
        </w:tc>
        <w:tc>
          <w:tcPr>
            <w:tcW w:type="dxa" w:w="15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3 × week</w:t>
            </w:r>
          </w:p>
        </w:tc>
        <w:tc>
          <w:tcPr>
            <w:tcW w:type="dxa" w:w="32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Equipment streak- and odour-free</w:t>
            </w:r>
          </w:p>
        </w:tc>
        <w:tc>
          <w:tcPr>
            <w:tcW w:type="dxa" w:w="16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r>
        <w:tc>
          <w:tcPr>
            <w:tcW w:type="dxa" w:w="33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Sweep and mop pool surrounds; clean furniture</w:t>
            </w:r>
          </w:p>
        </w:tc>
        <w:tc>
          <w:tcPr>
            <w:tcW w:type="dxa" w:w="15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Weekly</w:t>
            </w:r>
          </w:p>
        </w:tc>
        <w:tc>
          <w:tcPr>
            <w:tcW w:type="dxa" w:w="3238"/>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Surfaces clean; furniture arranged</w:t>
            </w:r>
          </w:p>
        </w:tc>
        <w:tc>
          <w:tcPr>
            <w:tcW w:type="dxa" w:w="16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r>
        <w:tc>
          <w:tcPr>
            <w:tcW w:type="dxa" w:w="33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Clean common/dining room floors and surfaces</w:t>
            </w:r>
          </w:p>
        </w:tc>
        <w:tc>
          <w:tcPr>
            <w:tcW w:type="dxa" w:w="15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Weekly</w:t>
            </w:r>
          </w:p>
        </w:tc>
        <w:tc>
          <w:tcPr>
            <w:tcW w:type="dxa" w:w="32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Ready for resident bookings</w:t>
            </w:r>
          </w:p>
        </w:tc>
        <w:tc>
          <w:tcPr>
            <w:tcW w:type="dxa" w:w="16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r>
        <w:tc>
          <w:tcPr>
            <w:tcW w:type="dxa" w:w="33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Clean and degrease BBQ areas and benches</w:t>
            </w:r>
          </w:p>
        </w:tc>
        <w:tc>
          <w:tcPr>
            <w:tcW w:type="dxa" w:w="15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Weekly</w:t>
            </w:r>
          </w:p>
        </w:tc>
        <w:tc>
          <w:tcPr>
            <w:tcW w:type="dxa" w:w="3238"/>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Grease-free; safe to use</w:t>
            </w:r>
          </w:p>
        </w:tc>
        <w:tc>
          <w:tcPr>
            <w:tcW w:type="dxa" w:w="16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r>
        <w:tc>
          <w:tcPr>
            <w:tcW w:type="dxa" w:w="33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Clean amenity bathrooms; replenish consumables</w:t>
            </w:r>
          </w:p>
        </w:tc>
        <w:tc>
          <w:tcPr>
            <w:tcW w:type="dxa" w:w="15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3 × week</w:t>
            </w:r>
          </w:p>
        </w:tc>
        <w:tc>
          <w:tcPr>
            <w:tcW w:type="dxa" w:w="32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Sanitised; consumables stocked</w:t>
            </w:r>
          </w:p>
        </w:tc>
        <w:tc>
          <w:tcPr>
            <w:tcW w:type="dxa" w:w="16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bl>
    <w:p>
      <w:pPr>
        <w:pBdr>
          <w:left w:val="single" w:color="FDD106" w:sz="20"/>
        </w:pBdr>
        <w:spacing w:after="40" w:before="260"/>
        <w:ind w:left="140"/>
      </w:pPr>
      <w:r>
        <w:rPr>
          <w:rFonts w:ascii="Georgia" w:cs="Georgia" w:eastAsia="Georgia" w:hAnsi="Georgia"/>
          <w:b/>
          <w:bCs/>
          <w:color w:val="189AD6"/>
          <w:sz w:val="21"/>
          <w:szCs w:val="21"/>
        </w:rPr>
        <w:t xml:space="preserve">2.8 External areas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1500"/>
        <w:gridCol w:w="3238"/>
        <w:gridCol w:w="1600"/>
      </w:tblGrid>
      <w:tr>
        <w:trPr>
          <w:tblHeader/>
        </w:trPr>
        <w:tc>
          <w:tcPr>
            <w:tcW w:type="dxa" w:w="3300"/>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Task</w:t>
            </w:r>
          </w:p>
        </w:tc>
        <w:tc>
          <w:tcPr>
            <w:tcW w:type="dxa" w:w="1500"/>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Frequency</w:t>
            </w:r>
          </w:p>
        </w:tc>
        <w:tc>
          <w:tcPr>
            <w:tcW w:type="dxa" w:w="3238"/>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Standard expected</w:t>
            </w:r>
          </w:p>
        </w:tc>
        <w:tc>
          <w:tcPr>
            <w:tcW w:type="dxa" w:w="1600"/>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Evidence</w:t>
            </w:r>
          </w:p>
        </w:tc>
      </w:tr>
      <w:tr>
        <w:tc>
          <w:tcPr>
            <w:tcW w:type="dxa" w:w="33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Sweep building perimeter paths and entry forecourt</w:t>
            </w:r>
          </w:p>
        </w:tc>
        <w:tc>
          <w:tcPr>
            <w:tcW w:type="dxa" w:w="15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2 × week</w:t>
            </w:r>
          </w:p>
        </w:tc>
        <w:tc>
          <w:tcPr>
            <w:tcW w:type="dxa" w:w="32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Free of litter and leaf build-up</w:t>
            </w:r>
          </w:p>
        </w:tc>
        <w:tc>
          <w:tcPr>
            <w:tcW w:type="dxa" w:w="16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r>
        <w:tc>
          <w:tcPr>
            <w:tcW w:type="dxa" w:w="33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Empty external bins and ashtrays (if present)</w:t>
            </w:r>
          </w:p>
        </w:tc>
        <w:tc>
          <w:tcPr>
            <w:tcW w:type="dxa" w:w="15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2 × week</w:t>
            </w:r>
          </w:p>
        </w:tc>
        <w:tc>
          <w:tcPr>
            <w:tcW w:type="dxa" w:w="3238"/>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Not overflowing; surrounds clean</w:t>
            </w:r>
          </w:p>
        </w:tc>
        <w:tc>
          <w:tcPr>
            <w:tcW w:type="dxa" w:w="16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r>
        <w:tc>
          <w:tcPr>
            <w:tcW w:type="dxa" w:w="33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Remove cobwebs from external fittings within reach</w:t>
            </w:r>
          </w:p>
        </w:tc>
        <w:tc>
          <w:tcPr>
            <w:tcW w:type="dxa" w:w="15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w:t>
            </w:r>
          </w:p>
        </w:tc>
        <w:tc>
          <w:tcPr>
            <w:tcW w:type="dxa" w:w="32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None visible at entry level</w:t>
            </w:r>
          </w:p>
        </w:tc>
        <w:tc>
          <w:tcPr>
            <w:tcW w:type="dxa" w:w="16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Monthly QA inspection</w:t>
            </w:r>
          </w:p>
        </w:tc>
      </w:tr>
      <w:tr>
        <w:tc>
          <w:tcPr>
            <w:tcW w:type="dxa" w:w="33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Report graffiti, damage or dumped rubbish</w:t>
            </w:r>
          </w:p>
        </w:tc>
        <w:tc>
          <w:tcPr>
            <w:tcW w:type="dxa" w:w="15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Every visit</w:t>
            </w:r>
          </w:p>
        </w:tc>
        <w:tc>
          <w:tcPr>
            <w:tcW w:type="dxa" w:w="3238"/>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Escalated to building manager same day</w:t>
            </w:r>
          </w:p>
        </w:tc>
        <w:tc>
          <w:tcPr>
            <w:tcW w:type="dxa" w:w="16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Site attendance log</w:t>
            </w:r>
          </w:p>
        </w:tc>
      </w:tr>
    </w:tbl>
    <w:p>
      <w:pPr>
        <w:pStyle w:val="Heading1"/>
        <w:pBdr>
          <w:bottom w:val="single" w:color="FDD106" w:sz="16"/>
        </w:pBdr>
        <w:spacing w:after="160" w:before="360"/>
      </w:pPr>
      <w:r>
        <w:rPr>
          <w:rFonts w:ascii="Georgia" w:cs="Georgia" w:eastAsia="Georgia" w:hAnsi="Georgia"/>
          <w:b/>
          <w:bCs/>
          <w:color w:val="189AD6"/>
          <w:sz w:val="25"/>
          <w:szCs w:val="25"/>
        </w:rPr>
        <w:t xml:space="preserve">3. Periodic works</w:t>
      </w:r>
    </w:p>
    <w:p>
      <w:pPr>
        <w:spacing w:after="140"/>
      </w:pPr>
      <w:r>
        <w:rPr>
          <w:rFonts w:ascii="Calibri" w:cs="Calibri" w:eastAsia="Calibri" w:hAnsi="Calibri"/>
          <w:b w:val="false"/>
          <w:bCs w:val="false"/>
          <w:i w:val="false"/>
          <w:iCs w:val="false"/>
          <w:color w:val="1E1E1E"/>
          <w:sz w:val="21"/>
          <w:szCs w:val="21"/>
        </w:rPr>
        <w:t xml:space="preserve">Periodic works are the tasks that arrive as disputes when they're left as verbal extras. Each one is listed here with its own frequency, and is either priced into the contract or clearly excluded — please complete the scheduled months and Included/Excluded columns for each row.</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900"/>
        <w:gridCol w:w="1900"/>
        <w:gridCol w:w="2138"/>
        <w:gridCol w:w="1700"/>
      </w:tblGrid>
      <w:tr>
        <w:trPr>
          <w:tblHeader/>
        </w:trPr>
        <w:tc>
          <w:tcPr>
            <w:tcW w:type="dxa" w:w="3900"/>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Periodic task</w:t>
            </w:r>
          </w:p>
        </w:tc>
        <w:tc>
          <w:tcPr>
            <w:tcW w:type="dxa" w:w="1900"/>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Frequency</w:t>
            </w:r>
          </w:p>
        </w:tc>
        <w:tc>
          <w:tcPr>
            <w:tcW w:type="dxa" w:w="2138"/>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Scheduled month(s)</w:t>
            </w:r>
          </w:p>
        </w:tc>
        <w:tc>
          <w:tcPr>
            <w:tcW w:type="dxa" w:w="1700"/>
            <w:tcBorders>
              <w:top w:val="single" w:color="C9D6DF" w:sz="4"/>
              <w:left w:val="single" w:color="C9D6DF" w:sz="4"/>
              <w:bottom w:val="single" w:color="C9D6DF" w:sz="4"/>
              <w:right w:val="single" w:color="C9D6DF" w:sz="4"/>
            </w:tcBorders>
            <w:shd w:fill="189AD6" w:color="auto" w:val="clear"/>
            <w:tcMar>
              <w:top w:type="dxa" w:w="60"/>
              <w:left w:type="dxa" w:w="100"/>
              <w:bottom w:type="dxa" w:w="60"/>
              <w:right w:type="dxa" w:w="100"/>
            </w:tcMar>
            <w:vAlign w:val="center"/>
          </w:tcPr>
          <w:p>
            <w:r>
              <w:rPr>
                <w:rFonts w:ascii="Calibri" w:cs="Calibri" w:eastAsia="Calibri" w:hAnsi="Calibri"/>
                <w:b/>
                <w:bCs/>
                <w:color w:val="FFFFFF"/>
                <w:sz w:val="19"/>
                <w:szCs w:val="19"/>
              </w:rPr>
              <w:t xml:space="preserve">Included?</w:t>
            </w:r>
          </w:p>
        </w:tc>
      </w:tr>
      <w:tr>
        <w:tc>
          <w:tcPr>
            <w:tcW w:type="dxa" w:w="39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Carpet steam cleaning — corridors and lobby</w:t>
            </w:r>
          </w:p>
        </w:tc>
        <w:tc>
          <w:tcPr>
            <w:tcW w:type="dxa" w:w="19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6-monthly</w:t>
            </w:r>
          </w:p>
        </w:tc>
        <w:tc>
          <w:tcPr>
            <w:tcW w:type="dxa" w:w="21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[e.g. March, September]</w:t>
            </w:r>
          </w:p>
        </w:tc>
        <w:tc>
          <w:tcPr>
            <w:tcW w:type="dxa" w:w="17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Included / Excluded</w:t>
            </w:r>
          </w:p>
        </w:tc>
      </w:tr>
      <w:tr>
        <w:tc>
          <w:tcPr>
            <w:tcW w:type="dxa" w:w="39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Machine sweep and scrub of car park decks</w:t>
            </w:r>
          </w:p>
        </w:tc>
        <w:tc>
          <w:tcPr>
            <w:tcW w:type="dxa" w:w="19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Quarterly</w:t>
            </w:r>
          </w:p>
        </w:tc>
        <w:tc>
          <w:tcPr>
            <w:tcW w:type="dxa" w:w="2138"/>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[months]</w:t>
            </w:r>
          </w:p>
        </w:tc>
        <w:tc>
          <w:tcPr>
            <w:tcW w:type="dxa" w:w="17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Included / Excluded</w:t>
            </w:r>
          </w:p>
        </w:tc>
      </w:tr>
      <w:tr>
        <w:tc>
          <w:tcPr>
            <w:tcW w:type="dxa" w:w="39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Pressure cleaning — forecourt, entry and ramps</w:t>
            </w:r>
          </w:p>
        </w:tc>
        <w:tc>
          <w:tcPr>
            <w:tcW w:type="dxa" w:w="19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6-monthly</w:t>
            </w:r>
          </w:p>
        </w:tc>
        <w:tc>
          <w:tcPr>
            <w:tcW w:type="dxa" w:w="21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[months]</w:t>
            </w:r>
          </w:p>
        </w:tc>
        <w:tc>
          <w:tcPr>
            <w:tcW w:type="dxa" w:w="17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Included / Excluded</w:t>
            </w:r>
          </w:p>
        </w:tc>
      </w:tr>
      <w:tr>
        <w:tc>
          <w:tcPr>
            <w:tcW w:type="dxa" w:w="39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High glass and atrium glazing (within safe reach)</w:t>
            </w:r>
          </w:p>
        </w:tc>
        <w:tc>
          <w:tcPr>
            <w:tcW w:type="dxa" w:w="19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Quarterly</w:t>
            </w:r>
          </w:p>
        </w:tc>
        <w:tc>
          <w:tcPr>
            <w:tcW w:type="dxa" w:w="2138"/>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[months]</w:t>
            </w:r>
          </w:p>
        </w:tc>
        <w:tc>
          <w:tcPr>
            <w:tcW w:type="dxa" w:w="17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Included / Excluded</w:t>
            </w:r>
          </w:p>
        </w:tc>
      </w:tr>
      <w:tr>
        <w:tc>
          <w:tcPr>
            <w:tcW w:type="dxa" w:w="39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Light fittings and high dusting</w:t>
            </w:r>
          </w:p>
        </w:tc>
        <w:tc>
          <w:tcPr>
            <w:tcW w:type="dxa" w:w="19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6-monthly</w:t>
            </w:r>
          </w:p>
        </w:tc>
        <w:tc>
          <w:tcPr>
            <w:tcW w:type="dxa" w:w="21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[months]</w:t>
            </w:r>
          </w:p>
        </w:tc>
        <w:tc>
          <w:tcPr>
            <w:tcW w:type="dxa" w:w="17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Included / Excluded</w:t>
            </w:r>
          </w:p>
        </w:tc>
      </w:tr>
      <w:tr>
        <w:tc>
          <w:tcPr>
            <w:tcW w:type="dxa" w:w="39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Strip and seal / buff hard floors</w:t>
            </w:r>
          </w:p>
        </w:tc>
        <w:tc>
          <w:tcPr>
            <w:tcW w:type="dxa" w:w="19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Annually</w:t>
            </w:r>
          </w:p>
        </w:tc>
        <w:tc>
          <w:tcPr>
            <w:tcW w:type="dxa" w:w="2138"/>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[month]</w:t>
            </w:r>
          </w:p>
        </w:tc>
        <w:tc>
          <w:tcPr>
            <w:tcW w:type="dxa" w:w="1700"/>
            <w:tcBorders>
              <w:top w:val="single" w:color="C9D6DF" w:sz="4"/>
              <w:left w:val="single" w:color="C9D6DF" w:sz="4"/>
              <w:bottom w:val="single" w:color="C9D6DF" w:sz="4"/>
              <w:right w:val="single" w:color="C9D6DF" w:sz="4"/>
            </w:tcBorders>
            <w:shd w:fill="F4F8FB" w:color="auto" w:val="clear"/>
            <w:tcMar>
              <w:top w:type="dxa" w:w="50"/>
              <w:left w:type="dxa" w:w="100"/>
              <w:bottom w:type="dxa" w:w="50"/>
              <w:right w:type="dxa" w:w="100"/>
            </w:tcMar>
          </w:tcPr>
          <w:p>
            <w:r>
              <w:rPr>
                <w:rFonts w:ascii="Calibri" w:cs="Calibri" w:eastAsia="Calibri" w:hAnsi="Calibri"/>
                <w:b w:val="false"/>
                <w:bCs w:val="false"/>
                <w:color w:val="1E1E1E"/>
                <w:sz w:val="19"/>
                <w:szCs w:val="19"/>
              </w:rPr>
              <w:t xml:space="preserve">Included / Excluded</w:t>
            </w:r>
          </w:p>
        </w:tc>
      </w:tr>
      <w:tr>
        <w:tc>
          <w:tcPr>
            <w:tcW w:type="dxa" w:w="39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Windows — external (specialist access)</w:t>
            </w:r>
          </w:p>
        </w:tc>
        <w:tc>
          <w:tcPr>
            <w:tcW w:type="dxa" w:w="19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[Annually]</w:t>
            </w:r>
          </w:p>
        </w:tc>
        <w:tc>
          <w:tcPr>
            <w:tcW w:type="dxa" w:w="2138"/>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[month]</w:t>
            </w:r>
          </w:p>
        </w:tc>
        <w:tc>
          <w:tcPr>
            <w:tcW w:type="dxa" w:w="1700"/>
            <w:tcBorders>
              <w:top w:val="single" w:color="C9D6DF" w:sz="4"/>
              <w:left w:val="single" w:color="C9D6DF" w:sz="4"/>
              <w:bottom w:val="single" w:color="C9D6DF" w:sz="4"/>
              <w:right w:val="single" w:color="C9D6DF" w:sz="4"/>
            </w:tcBorders>
            <w:tcMar>
              <w:top w:type="dxa" w:w="50"/>
              <w:left w:type="dxa" w:w="100"/>
              <w:bottom w:type="dxa" w:w="50"/>
              <w:right w:type="dxa" w:w="100"/>
            </w:tcMar>
          </w:tcPr>
          <w:p>
            <w:r>
              <w:rPr>
                <w:rFonts w:ascii="Calibri" w:cs="Calibri" w:eastAsia="Calibri" w:hAnsi="Calibri"/>
                <w:b w:val="false"/>
                <w:bCs w:val="false"/>
                <w:color w:val="1E1E1E"/>
                <w:sz w:val="19"/>
                <w:szCs w:val="19"/>
              </w:rPr>
              <w:t xml:space="preserve">Included / Excluded</w:t>
            </w:r>
          </w:p>
        </w:tc>
      </w:tr>
    </w:tbl>
    <w:p>
      <w:pPr>
        <w:pStyle w:val="Heading1"/>
        <w:pBdr>
          <w:bottom w:val="single" w:color="FDD106" w:sz="16"/>
        </w:pBdr>
        <w:spacing w:after="160" w:before="360"/>
      </w:pPr>
      <w:r>
        <w:rPr>
          <w:rFonts w:ascii="Georgia" w:cs="Georgia" w:eastAsia="Georgia" w:hAnsi="Georgia"/>
          <w:b/>
          <w:bCs/>
          <w:color w:val="189AD6"/>
          <w:sz w:val="25"/>
          <w:szCs w:val="25"/>
        </w:rPr>
        <w:t xml:space="preserve">4. Exclusions</w:t>
      </w:r>
    </w:p>
    <w:p>
      <w:pPr>
        <w:spacing w:after="140"/>
      </w:pPr>
      <w:r>
        <w:rPr>
          <w:rFonts w:ascii="Calibri" w:cs="Calibri" w:eastAsia="Calibri" w:hAnsi="Calibri"/>
          <w:b w:val="false"/>
          <w:bCs w:val="false"/>
          <w:i w:val="false"/>
          <w:iCs w:val="false"/>
          <w:color w:val="1E1E1E"/>
          <w:sz w:val="21"/>
          <w:szCs w:val="21"/>
        </w:rPr>
        <w:t xml:space="preserve">Naming what's excluded protects both sides — nobody discovers it mid-contract. Unless separately quoted, this scope excludes:</w:t>
      </w:r>
    </w:p>
    <w:p>
      <w:pPr>
        <w:pStyle w:val="ListParagraph"/>
        <w:numPr>
          <w:ilvl w:val="0"/>
          <w:numId w:val="2"/>
        </w:numPr>
        <w:spacing w:after="60"/>
      </w:pPr>
      <w:r>
        <w:rPr>
          <w:rFonts w:ascii="Calibri" w:cs="Calibri" w:eastAsia="Calibri" w:hAnsi="Calibri"/>
          <w:color w:val="1E1E1E"/>
          <w:sz w:val="21"/>
          <w:szCs w:val="21"/>
        </w:rPr>
        <w:t xml:space="preserve">Private lots, balconies and anything inside residents' apartments</w:t>
      </w:r>
    </w:p>
    <w:p>
      <w:pPr>
        <w:pStyle w:val="ListParagraph"/>
        <w:numPr>
          <w:ilvl w:val="0"/>
          <w:numId w:val="2"/>
        </w:numPr>
        <w:spacing w:after="60"/>
      </w:pPr>
      <w:r>
        <w:rPr>
          <w:rFonts w:ascii="Calibri" w:cs="Calibri" w:eastAsia="Calibri" w:hAnsi="Calibri"/>
          <w:color w:val="1E1E1E"/>
          <w:sz w:val="21"/>
          <w:szCs w:val="21"/>
        </w:rPr>
        <w:t xml:space="preserve">Work above safe reach height (above [3.5 m] / requiring elevated work platforms or abseil access)</w:t>
      </w:r>
    </w:p>
    <w:p>
      <w:pPr>
        <w:pStyle w:val="ListParagraph"/>
        <w:numPr>
          <w:ilvl w:val="0"/>
          <w:numId w:val="2"/>
        </w:numPr>
        <w:spacing w:after="60"/>
      </w:pPr>
      <w:r>
        <w:rPr>
          <w:rFonts w:ascii="Calibri" w:cs="Calibri" w:eastAsia="Calibri" w:hAnsi="Calibri"/>
          <w:color w:val="1E1E1E"/>
          <w:sz w:val="21"/>
          <w:szCs w:val="21"/>
        </w:rPr>
        <w:t xml:space="preserve">Biohazard, sharps and trauma cleaning (available as a separately quoted specialised service)</w:t>
      </w:r>
    </w:p>
    <w:p>
      <w:pPr>
        <w:pStyle w:val="ListParagraph"/>
        <w:numPr>
          <w:ilvl w:val="0"/>
          <w:numId w:val="2"/>
        </w:numPr>
        <w:spacing w:after="60"/>
      </w:pPr>
      <w:r>
        <w:rPr>
          <w:rFonts w:ascii="Calibri" w:cs="Calibri" w:eastAsia="Calibri" w:hAnsi="Calibri"/>
          <w:color w:val="1E1E1E"/>
          <w:sz w:val="21"/>
          <w:szCs w:val="21"/>
        </w:rPr>
        <w:t xml:space="preserve">Graffiti removal (reported same day; quoted separately on request)</w:t>
      </w:r>
    </w:p>
    <w:p>
      <w:pPr>
        <w:pStyle w:val="ListParagraph"/>
        <w:numPr>
          <w:ilvl w:val="0"/>
          <w:numId w:val="2"/>
        </w:numPr>
        <w:spacing w:after="60"/>
      </w:pPr>
      <w:r>
        <w:rPr>
          <w:rFonts w:ascii="Calibri" w:cs="Calibri" w:eastAsia="Calibri" w:hAnsi="Calibri"/>
          <w:color w:val="1E1E1E"/>
          <w:sz w:val="21"/>
          <w:szCs w:val="21"/>
        </w:rPr>
        <w:t xml:space="preserve">Garden and landscaping work, and pool water treatment</w:t>
      </w:r>
    </w:p>
    <w:p>
      <w:pPr>
        <w:pStyle w:val="ListParagraph"/>
        <w:numPr>
          <w:ilvl w:val="0"/>
          <w:numId w:val="2"/>
        </w:numPr>
        <w:spacing w:after="60"/>
      </w:pPr>
      <w:r>
        <w:rPr>
          <w:rFonts w:ascii="Calibri" w:cs="Calibri" w:eastAsia="Calibri" w:hAnsi="Calibri"/>
          <w:color w:val="1E1E1E"/>
          <w:sz w:val="21"/>
          <w:szCs w:val="21"/>
        </w:rPr>
        <w:t xml:space="preserve">Waste removal beyond bin presentation ([e.g. bulky goods, e-waste])</w:t>
      </w:r>
    </w:p>
    <w:p>
      <w:pPr>
        <w:pStyle w:val="Heading1"/>
        <w:pBdr>
          <w:bottom w:val="single" w:color="FDD106" w:sz="16"/>
        </w:pBdr>
        <w:spacing w:after="160" w:before="360"/>
      </w:pPr>
      <w:r>
        <w:rPr>
          <w:rFonts w:ascii="Georgia" w:cs="Georgia" w:eastAsia="Georgia" w:hAnsi="Georgia"/>
          <w:b/>
          <w:bCs/>
          <w:color w:val="189AD6"/>
          <w:sz w:val="25"/>
          <w:szCs w:val="25"/>
        </w:rPr>
        <w:t xml:space="preserve">5. Standards, evidence and quality checks</w:t>
      </w:r>
    </w:p>
    <w:p>
      <w:pPr>
        <w:pStyle w:val="ListParagraph"/>
        <w:numPr>
          <w:ilvl w:val="0"/>
          <w:numId w:val="3"/>
        </w:numPr>
        <w:spacing w:after="80"/>
      </w:pPr>
      <w:r>
        <w:rPr>
          <w:rFonts w:ascii="Calibri" w:cs="Calibri" w:eastAsia="Calibri" w:hAnsi="Calibri"/>
          <w:sz w:val="21"/>
          <w:szCs w:val="21"/>
        </w:rPr>
        <w:t xml:space="preserve">Inspections — the contractor's QA manager inspects the site monthly against this scope, using a documented checklist or auditing app.</w:t>
      </w:r>
    </w:p>
    <w:p>
      <w:pPr>
        <w:pStyle w:val="ListParagraph"/>
        <w:numPr>
          <w:ilvl w:val="0"/>
          <w:numId w:val="3"/>
        </w:numPr>
        <w:spacing w:after="80"/>
      </w:pPr>
      <w:r>
        <w:rPr>
          <w:rFonts w:ascii="Calibri" w:cs="Calibri" w:eastAsia="Calibri" w:hAnsi="Calibri"/>
          <w:sz w:val="21"/>
          <w:szCs w:val="21"/>
        </w:rPr>
        <w:t xml:space="preserve">Reporting — inspection results go to the building manager or committee each month, alongside the attendance log.</w:t>
      </w:r>
    </w:p>
    <w:p>
      <w:pPr>
        <w:pStyle w:val="ListParagraph"/>
        <w:numPr>
          <w:ilvl w:val="0"/>
          <w:numId w:val="3"/>
        </w:numPr>
        <w:spacing w:after="80"/>
      </w:pPr>
      <w:r>
        <w:rPr>
          <w:rFonts w:ascii="Calibri" w:cs="Calibri" w:eastAsia="Calibri" w:hAnsi="Calibri"/>
          <w:sz w:val="21"/>
          <w:szCs w:val="21"/>
        </w:rPr>
        <w:t xml:space="preserve">Issues — any complaint or failed inspection item has a named owner and a fix-by date, and is tracked until it's closed.</w:t>
      </w:r>
    </w:p>
    <w:p>
      <w:pPr>
        <w:pStyle w:val="ListParagraph"/>
        <w:numPr>
          <w:ilvl w:val="0"/>
          <w:numId w:val="3"/>
        </w:numPr>
        <w:spacing w:after="80"/>
      </w:pPr>
      <w:r>
        <w:rPr>
          <w:rFonts w:ascii="Calibri" w:cs="Calibri" w:eastAsia="Calibri" w:hAnsi="Calibri"/>
          <w:sz w:val="21"/>
          <w:szCs w:val="21"/>
        </w:rPr>
        <w:t xml:space="preserve">Staffing — cleaners are [directly employed / subcontracted] (ask — it matters for training, supervision and continuity), police-checked where required, and inducted to the site.</w:t>
      </w:r>
    </w:p>
    <w:p>
      <w:pPr>
        <w:pStyle w:val="ListParagraph"/>
        <w:numPr>
          <w:ilvl w:val="0"/>
          <w:numId w:val="3"/>
        </w:numPr>
        <w:spacing w:after="80"/>
      </w:pPr>
      <w:r>
        <w:rPr>
          <w:rFonts w:ascii="Calibri" w:cs="Calibri" w:eastAsia="Calibri" w:hAnsi="Calibri"/>
          <w:sz w:val="21"/>
          <w:szCs w:val="21"/>
        </w:rPr>
        <w:t xml:space="preserve">Insurance — the contractor holds public liability of at least $[20] million and workers compensation, with certificates of currency supplied annually.</w:t>
      </w:r>
    </w:p>
    <w:p>
      <w:pPr>
        <w:pStyle w:val="Heading1"/>
        <w:pBdr>
          <w:bottom w:val="single" w:color="FDD106" w:sz="16"/>
        </w:pBdr>
        <w:spacing w:after="160" w:before="360"/>
      </w:pPr>
      <w:r>
        <w:rPr>
          <w:rFonts w:ascii="Georgia" w:cs="Georgia" w:eastAsia="Georgia" w:hAnsi="Georgia"/>
          <w:b/>
          <w:bCs/>
          <w:color w:val="189AD6"/>
          <w:sz w:val="25"/>
          <w:szCs w:val="25"/>
        </w:rPr>
        <w:t xml:space="preserve">6. Consumables</w:t>
      </w:r>
    </w:p>
    <w:p>
      <w:pPr>
        <w:spacing w:after="140"/>
      </w:pPr>
      <w:r>
        <w:rPr>
          <w:rFonts w:ascii="Calibri" w:cs="Calibri" w:eastAsia="Calibri" w:hAnsi="Calibri"/>
          <w:b w:val="false"/>
          <w:bCs w:val="false"/>
          <w:i w:val="false"/>
          <w:iCs w:val="false"/>
          <w:color w:val="1E1E1E"/>
          <w:sz w:val="21"/>
          <w:szCs w:val="21"/>
        </w:rPr>
        <w:t xml:space="preserve">Small money, constant argument — write it down once. Unless agreed otherwise: the contractor supplies cleaning chemicals and equipment; the owners corporation supplies [bin liners, hand soap, paper products], replenished by the cleaner as part of routine visits.</w:t>
      </w:r>
    </w:p>
    <w:p>
      <w:pPr>
        <w:pStyle w:val="Heading1"/>
        <w:pBdr>
          <w:bottom w:val="single" w:color="FDD106" w:sz="16"/>
        </w:pBdr>
        <w:spacing w:after="160" w:before="360"/>
      </w:pPr>
      <w:r>
        <w:rPr>
          <w:rFonts w:ascii="Georgia" w:cs="Georgia" w:eastAsia="Georgia" w:hAnsi="Georgia"/>
          <w:b/>
          <w:bCs/>
          <w:color w:val="189AD6"/>
          <w:sz w:val="25"/>
          <w:szCs w:val="25"/>
        </w:rPr>
        <w:t xml:space="preserve">7. Agreement</w:t>
      </w:r>
    </w:p>
    <w:p>
      <w:pPr>
        <w:spacing w:after="140"/>
      </w:pPr>
      <w:r>
        <w:rPr>
          <w:rFonts w:ascii="Calibri" w:cs="Calibri" w:eastAsia="Calibri" w:hAnsi="Calibri"/>
          <w:b w:val="false"/>
          <w:bCs w:val="false"/>
          <w:i w:val="false"/>
          <w:iCs w:val="false"/>
          <w:color w:val="1E1E1E"/>
          <w:sz w:val="21"/>
          <w:szCs w:val="21"/>
        </w:rPr>
        <w:t xml:space="preserve">This scope of works forms part of the cleaning contract between the parties named in section 1. Changes to areas, tasks or frequencies are agreed in writing and attached as a revision.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single" w:color="C9D6DF" w:sz="4"/>
              <w:left w:val="single" w:color="C9D6DF" w:sz="4"/>
              <w:bottom w:val="single" w:color="C9D6DF" w:sz="4"/>
              <w:right w:val="single" w:color="C9D6DF" w:sz="4"/>
            </w:tcBorders>
            <w:tcMar>
              <w:top w:type="dxa" w:w="80"/>
              <w:left w:type="dxa" w:w="100"/>
              <w:bottom w:type="dxa" w:w="80"/>
              <w:right w:type="dxa" w:w="100"/>
            </w:tcMar>
          </w:tcPr>
          <w:p>
            <w:pPr>
              <w:spacing w:after="300"/>
            </w:pPr>
            <w:r>
              <w:rPr>
                <w:rFonts w:ascii="Calibri" w:cs="Calibri" w:eastAsia="Calibri" w:hAnsi="Calibri"/>
                <w:b/>
                <w:bCs/>
                <w:color w:val="189AD6"/>
                <w:sz w:val="20"/>
                <w:szCs w:val="20"/>
              </w:rPr>
              <w:t xml:space="preserve">For the owners corporation</w:t>
            </w:r>
          </w:p>
          <w:p>
            <w:pPr>
              <w:spacing w:after="40"/>
            </w:pPr>
            <w:r>
              <w:rPr>
                <w:rFonts w:ascii="Calibri" w:cs="Calibri" w:eastAsia="Calibri" w:hAnsi="Calibri"/>
                <w:sz w:val="20"/>
                <w:szCs w:val="20"/>
              </w:rPr>
              <w:t xml:space="preserve">Name: ____________________________</w:t>
            </w:r>
          </w:p>
          <w:p>
            <w:pPr>
              <w:spacing w:after="40"/>
            </w:pPr>
            <w:r>
              <w:rPr>
                <w:rFonts w:ascii="Calibri" w:cs="Calibri" w:eastAsia="Calibri" w:hAnsi="Calibri"/>
                <w:sz w:val="20"/>
                <w:szCs w:val="20"/>
              </w:rPr>
              <w:t xml:space="preserve">Signature: ________________________</w:t>
            </w:r>
          </w:p>
          <w:p>
            <w:r>
              <w:rPr>
                <w:rFonts w:ascii="Calibri" w:cs="Calibri" w:eastAsia="Calibri" w:hAnsi="Calibri"/>
                <w:sz w:val="20"/>
                <w:szCs w:val="20"/>
              </w:rPr>
              <w:t xml:space="preserve">Date: ____________________________</w:t>
            </w:r>
          </w:p>
        </w:tc>
        <w:tc>
          <w:tcPr>
            <w:tcW w:type="dxa" w:w="4819"/>
            <w:tcBorders>
              <w:top w:val="single" w:color="C9D6DF" w:sz="4"/>
              <w:left w:val="single" w:color="C9D6DF" w:sz="4"/>
              <w:bottom w:val="single" w:color="C9D6DF" w:sz="4"/>
              <w:right w:val="single" w:color="C9D6DF" w:sz="4"/>
            </w:tcBorders>
            <w:tcMar>
              <w:top w:type="dxa" w:w="80"/>
              <w:left w:type="dxa" w:w="100"/>
              <w:bottom w:type="dxa" w:w="80"/>
              <w:right w:type="dxa" w:w="100"/>
            </w:tcMar>
          </w:tcPr>
          <w:p>
            <w:pPr>
              <w:spacing w:after="300"/>
            </w:pPr>
            <w:r>
              <w:rPr>
                <w:rFonts w:ascii="Calibri" w:cs="Calibri" w:eastAsia="Calibri" w:hAnsi="Calibri"/>
                <w:b/>
                <w:bCs/>
                <w:color w:val="189AD6"/>
                <w:sz w:val="20"/>
                <w:szCs w:val="20"/>
              </w:rPr>
              <w:t xml:space="preserve">For the cleaning contractor</w:t>
            </w:r>
          </w:p>
          <w:p>
            <w:pPr>
              <w:spacing w:after="40"/>
            </w:pPr>
            <w:r>
              <w:rPr>
                <w:rFonts w:ascii="Calibri" w:cs="Calibri" w:eastAsia="Calibri" w:hAnsi="Calibri"/>
                <w:sz w:val="20"/>
                <w:szCs w:val="20"/>
              </w:rPr>
              <w:t xml:space="preserve">Name: ____________________________</w:t>
            </w:r>
          </w:p>
          <w:p>
            <w:pPr>
              <w:spacing w:after="40"/>
            </w:pPr>
            <w:r>
              <w:rPr>
                <w:rFonts w:ascii="Calibri" w:cs="Calibri" w:eastAsia="Calibri" w:hAnsi="Calibri"/>
                <w:sz w:val="20"/>
                <w:szCs w:val="20"/>
              </w:rPr>
              <w:t xml:space="preserve">Signature: ________________________</w:t>
            </w:r>
          </w:p>
          <w:p>
            <w:r>
              <w:rPr>
                <w:rFonts w:ascii="Calibri" w:cs="Calibri" w:eastAsia="Calibri" w:hAnsi="Calibri"/>
                <w:sz w:val="20"/>
                <w:szCs w:val="20"/>
              </w:rPr>
              <w:t xml:space="preserve">Date: ____________________________</w:t>
            </w:r>
          </w:p>
        </w:tc>
      </w:tr>
    </w:tbl>
    <w:p>
      <w:pPr>
        <w:pBdr>
          <w:top w:val="single" w:color="FDD106" w:sz="8"/>
        </w:pBdr>
        <w:spacing w:before="360"/>
      </w:pPr>
      <w:r>
        <w:rPr>
          <w:rFonts w:ascii="Calibri" w:cs="Calibri" w:eastAsia="Calibri" w:hAnsi="Calibri"/>
          <w:i/>
          <w:iCs/>
          <w:color w:val="5A6570"/>
          <w:sz w:val="18"/>
          <w:szCs w:val="18"/>
        </w:rPr>
        <w:t xml:space="preserve">Template prepared by Tru Brite Cleaning Services — proudly servicing the Sydney strata community since 1992. You're welcome to use and adapt this document with any contractor. If you'd like us to price your building against your scope, or draft one with you after a site walk, we'd be very happy to help: (02) 9518 8577 · hello@trubrite.com.au · trubrite.com.au</w:t>
      </w:r>
    </w:p>
    <w:sectPr>
      <w:pgSz w:w="11906" w:h="16838" w:orient="portrait"/>
      <w:pgMar w:top="1080" w:right="1010" w:bottom="1080" w:left="101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3" w:hanging="259"/>
      </w:pPr>
    </w:lvl>
  </w:abstractNum>
  <w:abstractNum w:abstractNumId="3" w15:restartNumberingAfterBreak="0">
    <w:multiLevelType w:val="hybridMultilevel"/>
    <w:lvl w:ilvl="0" w15:tentative="1">
      <w:start w:val="1"/>
      <w:numFmt w:val="decimal"/>
      <w:lvlText w:val="%1."/>
      <w:lvlJc w:val="left"/>
      <w:pPr>
        <w:ind w:left="431" w:hanging="316"/>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1E1E"/>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60" w:before="360"/>
    </w:pPr>
    <w:rPr>
      <w:rFonts w:ascii="Georgia" w:cs="Georgia" w:eastAsia="Georgia" w:hAnsi="Georgia"/>
      <w:b/>
      <w:bCs/>
      <w:color w:val="189AD6"/>
      <w:sz w:val="25"/>
      <w:szCs w:val="25"/>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336e6cda7ecbcc56fbbcd2360b845e44a9b474b.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2026-08-31T01:33:13.108Z</dcterms:created>
  <dcterms:modified xsi:type="dcterms:W3CDTF">2026-08-31T01:33:13.108Z</dcterms:modified>
</cp:coreProperties>
</file>

<file path=docProps/custom.xml><?xml version="1.0" encoding="utf-8"?>
<Properties xmlns="http://schemas.openxmlformats.org/officeDocument/2006/custom-properties" xmlns:vt="http://schemas.openxmlformats.org/officeDocument/2006/docPropsVTypes"/>
</file>